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DB7797">
        <w:rPr>
          <w:rFonts w:ascii="MiloOT-Medi" w:hAnsi="MiloOT-Medi" w:cstheme="minorHAnsi"/>
          <w:color w:val="00AB96"/>
          <w:sz w:val="16"/>
          <w:szCs w:val="16"/>
        </w:rPr>
      </w:r>
      <w:r w:rsidR="00DB7797">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DB7797">
        <w:rPr>
          <w:rFonts w:ascii="MiloOT-Medi" w:hAnsi="MiloOT-Medi"/>
          <w:color w:val="002F5D"/>
          <w:sz w:val="16"/>
          <w:szCs w:val="16"/>
        </w:rPr>
      </w:r>
      <w:r w:rsidR="00DB7797">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3"/>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DB7797">
        <w:rPr>
          <w:rFonts w:ascii="MiloOT-Light" w:hAnsi="MiloOT-Light"/>
          <w:color w:val="002F5D"/>
          <w:sz w:val="16"/>
          <w:szCs w:val="16"/>
        </w:rPr>
      </w:r>
      <w:r w:rsidR="00DB7797">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3"/>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DB7797">
        <w:rPr>
          <w:rFonts w:ascii="MiloOT-Light" w:hAnsi="MiloOT-Light"/>
          <w:color w:val="002F5D"/>
          <w:sz w:val="16"/>
          <w:szCs w:val="16"/>
        </w:rPr>
      </w:r>
      <w:r w:rsidR="00DB7797">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DB7797">
        <w:rPr>
          <w:rFonts w:ascii="MiloOT-Light" w:hAnsi="MiloOT-Light"/>
          <w:color w:val="002F5D"/>
          <w:sz w:val="16"/>
          <w:szCs w:val="16"/>
        </w:rPr>
      </w:r>
      <w:r w:rsidR="00DB7797">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DB7797">
        <w:rPr>
          <w:rFonts w:ascii="MiloOT-Light" w:hAnsi="MiloOT-Light"/>
          <w:color w:val="002F5D"/>
          <w:sz w:val="16"/>
          <w:szCs w:val="16"/>
        </w:rPr>
      </w:r>
      <w:r w:rsidR="00DB7797">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0D65FD"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312C69"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206542" w:rsidP="00DD75CD">
      <w:pPr>
        <w:spacing w:after="120" w:line="280" w:lineRule="exact"/>
        <w:ind w:right="-29"/>
        <w:rPr>
          <w:b/>
        </w:rPr>
      </w:pPr>
      <w:r>
        <w:rPr>
          <w:sz w:val="21"/>
          <w:szCs w:val="21"/>
        </w:rPr>
        <w:lastRenderedPageBreak/>
        <w:t>4. Juli 2022</w:t>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CF5879" w:rsidRDefault="00CF5879" w:rsidP="00F91AFA">
      <w:pPr>
        <w:spacing w:after="120" w:line="300" w:lineRule="exact"/>
        <w:ind w:right="-28"/>
        <w:jc w:val="both"/>
        <w:rPr>
          <w:b/>
          <w:sz w:val="24"/>
          <w:szCs w:val="21"/>
        </w:rPr>
      </w:pPr>
      <w:bookmarkStart w:id="4" w:name="Anschrift"/>
      <w:bookmarkEnd w:id="4"/>
      <w:r w:rsidRPr="00CF5879">
        <w:rPr>
          <w:b/>
          <w:sz w:val="24"/>
          <w:szCs w:val="21"/>
        </w:rPr>
        <w:lastRenderedPageBreak/>
        <w:t xml:space="preserve">GPK-Gipfeltreffen </w:t>
      </w:r>
      <w:proofErr w:type="spellStart"/>
      <w:r w:rsidRPr="00CF5879">
        <w:rPr>
          <w:b/>
          <w:sz w:val="24"/>
          <w:szCs w:val="21"/>
        </w:rPr>
        <w:t>launcht</w:t>
      </w:r>
      <w:proofErr w:type="spellEnd"/>
      <w:r w:rsidRPr="00CF5879">
        <w:rPr>
          <w:b/>
          <w:sz w:val="24"/>
          <w:szCs w:val="21"/>
        </w:rPr>
        <w:t xml:space="preserve"> erfolgreich in Frankfurt</w:t>
      </w:r>
    </w:p>
    <w:p w:rsidR="00DD75CD" w:rsidRPr="00F71684" w:rsidRDefault="00024A92" w:rsidP="00F91AFA">
      <w:pPr>
        <w:spacing w:after="240" w:line="300" w:lineRule="exact"/>
        <w:ind w:right="-28"/>
        <w:jc w:val="both"/>
        <w:rPr>
          <w:b/>
          <w:sz w:val="21"/>
          <w:szCs w:val="21"/>
        </w:rPr>
      </w:pPr>
      <w:r>
        <w:rPr>
          <w:b/>
          <w:sz w:val="21"/>
          <w:szCs w:val="21"/>
        </w:rPr>
        <w:t xml:space="preserve">Brancheninformationen aus erster Hand, </w:t>
      </w:r>
      <w:proofErr w:type="spellStart"/>
      <w:r>
        <w:rPr>
          <w:b/>
          <w:sz w:val="21"/>
          <w:szCs w:val="21"/>
        </w:rPr>
        <w:t>kollaborative</w:t>
      </w:r>
      <w:proofErr w:type="spellEnd"/>
      <w:r>
        <w:rPr>
          <w:b/>
          <w:sz w:val="21"/>
          <w:szCs w:val="21"/>
        </w:rPr>
        <w:t xml:space="preserve"> Zusammenarbeit, Networking und Diskussion auf Augenhöhe – all das war das Motto des ersten eintägigen GPK-Gipfeltreffens am 23.</w:t>
      </w:r>
      <w:r w:rsidR="00851803">
        <w:rPr>
          <w:b/>
          <w:sz w:val="21"/>
          <w:szCs w:val="21"/>
        </w:rPr>
        <w:t> </w:t>
      </w:r>
      <w:r>
        <w:rPr>
          <w:b/>
          <w:sz w:val="21"/>
          <w:szCs w:val="21"/>
        </w:rPr>
        <w:t xml:space="preserve">Juni, </w:t>
      </w:r>
      <w:r w:rsidR="009311E4">
        <w:rPr>
          <w:b/>
          <w:sz w:val="21"/>
          <w:szCs w:val="21"/>
        </w:rPr>
        <w:t>das vom Handelsverband Koch- und Tischkultur (GPK) ausgerichtet wurde.</w:t>
      </w:r>
      <w:r w:rsidR="00981FBE">
        <w:rPr>
          <w:b/>
          <w:sz w:val="21"/>
          <w:szCs w:val="21"/>
        </w:rPr>
        <w:t xml:space="preserve"> Besonderes Highlight der Tagung war die Vorstellung der IFH-Zukunftsstudie „Quo </w:t>
      </w:r>
      <w:proofErr w:type="spellStart"/>
      <w:r w:rsidR="00981FBE">
        <w:rPr>
          <w:b/>
          <w:sz w:val="21"/>
          <w:szCs w:val="21"/>
        </w:rPr>
        <w:t>vadis</w:t>
      </w:r>
      <w:proofErr w:type="spellEnd"/>
      <w:r w:rsidR="00981FBE">
        <w:rPr>
          <w:b/>
          <w:sz w:val="21"/>
          <w:szCs w:val="21"/>
        </w:rPr>
        <w:t>, GPK-Fachhandel?“ und der im Anschluss vertiefende Workshop.</w:t>
      </w:r>
    </w:p>
    <w:p w:rsidR="00F71684" w:rsidRDefault="009311E4" w:rsidP="00F91AFA">
      <w:pPr>
        <w:spacing w:before="120" w:line="360" w:lineRule="auto"/>
        <w:ind w:right="-28"/>
        <w:jc w:val="both"/>
        <w:rPr>
          <w:sz w:val="21"/>
          <w:szCs w:val="21"/>
        </w:rPr>
      </w:pPr>
      <w:r>
        <w:rPr>
          <w:sz w:val="21"/>
          <w:szCs w:val="21"/>
        </w:rPr>
        <w:t>Rund 60 Teilnehmer</w:t>
      </w:r>
      <w:r w:rsidR="0046709E">
        <w:rPr>
          <w:sz w:val="21"/>
          <w:szCs w:val="21"/>
        </w:rPr>
        <w:t xml:space="preserve"> aus Handel und Industrie</w:t>
      </w:r>
      <w:r>
        <w:rPr>
          <w:sz w:val="21"/>
          <w:szCs w:val="21"/>
        </w:rPr>
        <w:t xml:space="preserve"> folgten der Einladung des Handelsverbands Koch- und Tischkultur (GPK) zu</w:t>
      </w:r>
      <w:r w:rsidR="0046709E">
        <w:rPr>
          <w:sz w:val="21"/>
          <w:szCs w:val="21"/>
        </w:rPr>
        <w:t xml:space="preserve">r Premiere des </w:t>
      </w:r>
      <w:r w:rsidR="00462FA8">
        <w:rPr>
          <w:sz w:val="21"/>
          <w:szCs w:val="21"/>
        </w:rPr>
        <w:t xml:space="preserve">exklusiven, </w:t>
      </w:r>
      <w:r w:rsidR="0046709E">
        <w:rPr>
          <w:sz w:val="21"/>
          <w:szCs w:val="21"/>
        </w:rPr>
        <w:t>eintägigen GPK-Gipfeltreffens</w:t>
      </w:r>
      <w:r w:rsidR="00462FA8">
        <w:rPr>
          <w:sz w:val="21"/>
          <w:szCs w:val="21"/>
        </w:rPr>
        <w:t xml:space="preserve">, welches zeitgleich zur Messe „Heimtextil“ in den Räumlichkeiten der Messe Frankfurt stattfand. </w:t>
      </w:r>
      <w:r w:rsidR="00CC6045">
        <w:rPr>
          <w:sz w:val="21"/>
          <w:szCs w:val="21"/>
        </w:rPr>
        <w:t>Philip</w:t>
      </w:r>
      <w:r w:rsidR="00F52B1C">
        <w:rPr>
          <w:sz w:val="21"/>
          <w:szCs w:val="21"/>
        </w:rPr>
        <w:t>p</w:t>
      </w:r>
      <w:r w:rsidR="00CC6045">
        <w:rPr>
          <w:sz w:val="21"/>
          <w:szCs w:val="21"/>
        </w:rPr>
        <w:t xml:space="preserve"> </w:t>
      </w:r>
      <w:proofErr w:type="spellStart"/>
      <w:r w:rsidR="00CC6045">
        <w:rPr>
          <w:sz w:val="21"/>
          <w:szCs w:val="21"/>
        </w:rPr>
        <w:t>Ferger</w:t>
      </w:r>
      <w:proofErr w:type="spellEnd"/>
      <w:r w:rsidR="00CC6045">
        <w:rPr>
          <w:sz w:val="21"/>
          <w:szCs w:val="21"/>
        </w:rPr>
        <w:t xml:space="preserve"> und Julia </w:t>
      </w:r>
      <w:proofErr w:type="spellStart"/>
      <w:r w:rsidR="00CC6045">
        <w:rPr>
          <w:sz w:val="21"/>
          <w:szCs w:val="21"/>
        </w:rPr>
        <w:t>Uherek</w:t>
      </w:r>
      <w:proofErr w:type="spellEnd"/>
      <w:r w:rsidR="00CC6045">
        <w:rPr>
          <w:sz w:val="21"/>
          <w:szCs w:val="21"/>
        </w:rPr>
        <w:t xml:space="preserve">, beide </w:t>
      </w:r>
      <w:proofErr w:type="spellStart"/>
      <w:r w:rsidR="00CC6045">
        <w:rPr>
          <w:sz w:val="21"/>
          <w:szCs w:val="21"/>
        </w:rPr>
        <w:t>Vice</w:t>
      </w:r>
      <w:proofErr w:type="spellEnd"/>
      <w:r w:rsidR="00CC6045">
        <w:rPr>
          <w:sz w:val="21"/>
          <w:szCs w:val="21"/>
        </w:rPr>
        <w:t xml:space="preserve"> </w:t>
      </w:r>
      <w:proofErr w:type="spellStart"/>
      <w:r w:rsidR="00CC6045">
        <w:rPr>
          <w:sz w:val="21"/>
          <w:szCs w:val="21"/>
        </w:rPr>
        <w:t>President</w:t>
      </w:r>
      <w:proofErr w:type="spellEnd"/>
      <w:r w:rsidR="00CC6045">
        <w:rPr>
          <w:sz w:val="21"/>
          <w:szCs w:val="21"/>
        </w:rPr>
        <w:t xml:space="preserve"> Consumer </w:t>
      </w:r>
      <w:proofErr w:type="spellStart"/>
      <w:r w:rsidR="000B52C5">
        <w:rPr>
          <w:sz w:val="21"/>
          <w:szCs w:val="21"/>
        </w:rPr>
        <w:t>Goods</w:t>
      </w:r>
      <w:proofErr w:type="spellEnd"/>
      <w:r w:rsidR="000B52C5">
        <w:rPr>
          <w:sz w:val="21"/>
          <w:szCs w:val="21"/>
        </w:rPr>
        <w:t xml:space="preserve"> </w:t>
      </w:r>
      <w:proofErr w:type="spellStart"/>
      <w:r w:rsidR="000B52C5">
        <w:rPr>
          <w:sz w:val="21"/>
          <w:szCs w:val="21"/>
        </w:rPr>
        <w:t>Fairs</w:t>
      </w:r>
      <w:proofErr w:type="spellEnd"/>
      <w:r w:rsidR="000B52C5">
        <w:rPr>
          <w:sz w:val="21"/>
          <w:szCs w:val="21"/>
        </w:rPr>
        <w:t xml:space="preserve"> Messe Frankfurt, stellten</w:t>
      </w:r>
      <w:r w:rsidR="00851803">
        <w:rPr>
          <w:sz w:val="21"/>
          <w:szCs w:val="21"/>
        </w:rPr>
        <w:t xml:space="preserve"> den Podiumsteilnehmern</w:t>
      </w:r>
      <w:r w:rsidR="00CC6045">
        <w:rPr>
          <w:sz w:val="21"/>
          <w:szCs w:val="21"/>
        </w:rPr>
        <w:t xml:space="preserve"> Marlene Berz (Siller &amp; Laar), Nicola Hoffmann (</w:t>
      </w:r>
      <w:proofErr w:type="spellStart"/>
      <w:r w:rsidR="00CC6045">
        <w:rPr>
          <w:sz w:val="21"/>
          <w:szCs w:val="21"/>
        </w:rPr>
        <w:t>räder</w:t>
      </w:r>
      <w:proofErr w:type="spellEnd"/>
      <w:r w:rsidR="00CC6045">
        <w:rPr>
          <w:sz w:val="21"/>
          <w:szCs w:val="21"/>
        </w:rPr>
        <w:t>), Michael Eichinger (Zwiesel Kristallglas)</w:t>
      </w:r>
      <w:r w:rsidR="00851803">
        <w:rPr>
          <w:sz w:val="21"/>
          <w:szCs w:val="21"/>
        </w:rPr>
        <w:t xml:space="preserve"> und</w:t>
      </w:r>
      <w:r w:rsidR="00CC6045">
        <w:rPr>
          <w:sz w:val="21"/>
          <w:szCs w:val="21"/>
        </w:rPr>
        <w:t xml:space="preserve"> Maximilian Schreiner (Max Schreiner) sowie den interessierten Teilnehmern </w:t>
      </w:r>
      <w:r w:rsidR="000B52C5">
        <w:rPr>
          <w:sz w:val="21"/>
          <w:szCs w:val="21"/>
        </w:rPr>
        <w:t>anschaulich das neue Motto „</w:t>
      </w:r>
      <w:r w:rsidR="000B52C5" w:rsidRPr="000B52C5">
        <w:rPr>
          <w:sz w:val="21"/>
          <w:szCs w:val="21"/>
        </w:rPr>
        <w:t xml:space="preserve">Home </w:t>
      </w:r>
      <w:proofErr w:type="spellStart"/>
      <w:r w:rsidR="000B52C5" w:rsidRPr="000B52C5">
        <w:rPr>
          <w:sz w:val="21"/>
          <w:szCs w:val="21"/>
        </w:rPr>
        <w:t>of</w:t>
      </w:r>
      <w:proofErr w:type="spellEnd"/>
      <w:r w:rsidR="000B52C5" w:rsidRPr="000B52C5">
        <w:rPr>
          <w:sz w:val="21"/>
          <w:szCs w:val="21"/>
        </w:rPr>
        <w:t xml:space="preserve"> Consumer </w:t>
      </w:r>
      <w:proofErr w:type="spellStart"/>
      <w:r w:rsidR="000B52C5" w:rsidRPr="000B52C5">
        <w:rPr>
          <w:sz w:val="21"/>
          <w:szCs w:val="21"/>
        </w:rPr>
        <w:t>Goods</w:t>
      </w:r>
      <w:proofErr w:type="spellEnd"/>
      <w:r w:rsidR="000B52C5">
        <w:rPr>
          <w:sz w:val="21"/>
          <w:szCs w:val="21"/>
        </w:rPr>
        <w:t>“ vor, unter dem die Leitmessen „Ambiente“, “</w:t>
      </w:r>
      <w:proofErr w:type="spellStart"/>
      <w:r w:rsidR="000B52C5">
        <w:rPr>
          <w:sz w:val="21"/>
          <w:szCs w:val="21"/>
        </w:rPr>
        <w:t>Christmasworld</w:t>
      </w:r>
      <w:proofErr w:type="spellEnd"/>
      <w:r w:rsidR="000B52C5">
        <w:rPr>
          <w:sz w:val="21"/>
          <w:szCs w:val="21"/>
        </w:rPr>
        <w:t>“ und „</w:t>
      </w:r>
      <w:proofErr w:type="spellStart"/>
      <w:r w:rsidR="000B52C5">
        <w:rPr>
          <w:sz w:val="21"/>
          <w:szCs w:val="21"/>
        </w:rPr>
        <w:t>Creativeworld</w:t>
      </w:r>
      <w:proofErr w:type="spellEnd"/>
      <w:r w:rsidR="000B52C5">
        <w:rPr>
          <w:sz w:val="21"/>
          <w:szCs w:val="21"/>
        </w:rPr>
        <w:t xml:space="preserve">“ </w:t>
      </w:r>
      <w:r w:rsidR="000B52C5" w:rsidRPr="000B52C5">
        <w:rPr>
          <w:sz w:val="21"/>
          <w:szCs w:val="21"/>
        </w:rPr>
        <w:t xml:space="preserve">erstmalig zeitgleich vom 3./4. bis 7. Februar 2023 </w:t>
      </w:r>
      <w:r w:rsidR="00F52B1C">
        <w:rPr>
          <w:sz w:val="21"/>
          <w:szCs w:val="21"/>
        </w:rPr>
        <w:t xml:space="preserve">physisch </w:t>
      </w:r>
      <w:r w:rsidR="000B52C5">
        <w:rPr>
          <w:sz w:val="21"/>
          <w:szCs w:val="21"/>
        </w:rPr>
        <w:t xml:space="preserve">auf dem Frankfurter Messegelände </w:t>
      </w:r>
      <w:r w:rsidR="00F52B1C">
        <w:rPr>
          <w:sz w:val="21"/>
          <w:szCs w:val="21"/>
        </w:rPr>
        <w:t xml:space="preserve">sowie ganzjährig online </w:t>
      </w:r>
      <w:r w:rsidR="000B52C5">
        <w:rPr>
          <w:sz w:val="21"/>
          <w:szCs w:val="21"/>
        </w:rPr>
        <w:t xml:space="preserve">stattfinden werden. </w:t>
      </w:r>
      <w:r w:rsidR="00CC5733">
        <w:rPr>
          <w:sz w:val="21"/>
          <w:szCs w:val="21"/>
        </w:rPr>
        <w:t xml:space="preserve">Direkt im Anschluss </w:t>
      </w:r>
      <w:r w:rsidR="002236DC">
        <w:rPr>
          <w:sz w:val="21"/>
          <w:szCs w:val="21"/>
        </w:rPr>
        <w:t xml:space="preserve">moderierte GPK-Geschäftsführer Christian Haeser </w:t>
      </w:r>
      <w:r w:rsidR="00CC5733">
        <w:rPr>
          <w:sz w:val="21"/>
          <w:szCs w:val="21"/>
        </w:rPr>
        <w:t>d</w:t>
      </w:r>
      <w:r w:rsidR="002236DC">
        <w:rPr>
          <w:sz w:val="21"/>
          <w:szCs w:val="21"/>
        </w:rPr>
        <w:t>ie</w:t>
      </w:r>
      <w:r w:rsidR="00CC5733">
        <w:rPr>
          <w:sz w:val="21"/>
          <w:szCs w:val="21"/>
        </w:rPr>
        <w:t xml:space="preserve"> </w:t>
      </w:r>
      <w:r w:rsidR="002236DC">
        <w:rPr>
          <w:sz w:val="21"/>
          <w:szCs w:val="21"/>
        </w:rPr>
        <w:t xml:space="preserve">rege </w:t>
      </w:r>
      <w:r w:rsidR="00CC5733">
        <w:rPr>
          <w:sz w:val="21"/>
          <w:szCs w:val="21"/>
        </w:rPr>
        <w:t>Saal</w:t>
      </w:r>
      <w:r w:rsidR="002236DC">
        <w:rPr>
          <w:sz w:val="21"/>
          <w:szCs w:val="21"/>
        </w:rPr>
        <w:t>diskussion</w:t>
      </w:r>
      <w:r w:rsidR="00CC5733">
        <w:rPr>
          <w:sz w:val="21"/>
          <w:szCs w:val="21"/>
        </w:rPr>
        <w:t xml:space="preserve"> über den Status quo der „Messe der Zukunft“ im Allgemeinen </w:t>
      </w:r>
      <w:r w:rsidR="00050408">
        <w:rPr>
          <w:sz w:val="21"/>
          <w:szCs w:val="21"/>
        </w:rPr>
        <w:t>sowie</w:t>
      </w:r>
      <w:r w:rsidR="00CC5733">
        <w:rPr>
          <w:sz w:val="21"/>
          <w:szCs w:val="21"/>
        </w:rPr>
        <w:t xml:space="preserve"> über die jeweiligen Anforderungen von Industrie und Handel </w:t>
      </w:r>
      <w:r w:rsidR="002236DC">
        <w:rPr>
          <w:sz w:val="21"/>
          <w:szCs w:val="21"/>
        </w:rPr>
        <w:t xml:space="preserve">an die Messe Frankfurt </w:t>
      </w:r>
      <w:r w:rsidR="00CC5733">
        <w:rPr>
          <w:sz w:val="21"/>
          <w:szCs w:val="21"/>
        </w:rPr>
        <w:t xml:space="preserve">und gab </w:t>
      </w:r>
      <w:r w:rsidR="002236DC">
        <w:rPr>
          <w:sz w:val="21"/>
          <w:szCs w:val="21"/>
        </w:rPr>
        <w:t xml:space="preserve">somit </w:t>
      </w:r>
      <w:r w:rsidR="00CC5733">
        <w:rPr>
          <w:sz w:val="21"/>
          <w:szCs w:val="21"/>
        </w:rPr>
        <w:t xml:space="preserve">den Referenten wichtige Impulse mit auf den Weg. </w:t>
      </w:r>
    </w:p>
    <w:p w:rsidR="00CC5733" w:rsidRDefault="000433AB" w:rsidP="00F91AFA">
      <w:pPr>
        <w:spacing w:before="120" w:line="360" w:lineRule="auto"/>
        <w:ind w:right="-28"/>
        <w:jc w:val="both"/>
        <w:rPr>
          <w:sz w:val="21"/>
          <w:szCs w:val="21"/>
        </w:rPr>
      </w:pPr>
      <w:r>
        <w:rPr>
          <w:sz w:val="21"/>
          <w:szCs w:val="21"/>
        </w:rPr>
        <w:t>Interessan</w:t>
      </w:r>
      <w:r w:rsidR="00050408">
        <w:rPr>
          <w:sz w:val="21"/>
          <w:szCs w:val="21"/>
        </w:rPr>
        <w:t>te Erkenntnisse sowie</w:t>
      </w:r>
      <w:r w:rsidR="005B3884">
        <w:rPr>
          <w:sz w:val="21"/>
          <w:szCs w:val="21"/>
        </w:rPr>
        <w:t xml:space="preserve"> tiefe</w:t>
      </w:r>
      <w:r>
        <w:rPr>
          <w:sz w:val="21"/>
          <w:szCs w:val="21"/>
        </w:rPr>
        <w:t xml:space="preserve"> Einblick</w:t>
      </w:r>
      <w:r w:rsidR="005B3884">
        <w:rPr>
          <w:sz w:val="21"/>
          <w:szCs w:val="21"/>
        </w:rPr>
        <w:t>e</w:t>
      </w:r>
      <w:r>
        <w:rPr>
          <w:sz w:val="21"/>
          <w:szCs w:val="21"/>
        </w:rPr>
        <w:t xml:space="preserve"> in die Bedürfnisse des GPK-Konsumenten </w:t>
      </w:r>
      <w:r w:rsidR="00050408">
        <w:rPr>
          <w:sz w:val="21"/>
          <w:szCs w:val="21"/>
        </w:rPr>
        <w:t>und</w:t>
      </w:r>
      <w:r w:rsidR="005B3884">
        <w:rPr>
          <w:sz w:val="21"/>
          <w:szCs w:val="21"/>
        </w:rPr>
        <w:t xml:space="preserve"> den Fachhandel der Zukunft </w:t>
      </w:r>
      <w:r>
        <w:rPr>
          <w:sz w:val="21"/>
          <w:szCs w:val="21"/>
        </w:rPr>
        <w:t>gab Boris Hedde, Geschäftsführer Institut für Handelsforschung</w:t>
      </w:r>
      <w:r w:rsidR="00DB7797">
        <w:rPr>
          <w:sz w:val="21"/>
          <w:szCs w:val="21"/>
        </w:rPr>
        <w:t xml:space="preserve"> Köln</w:t>
      </w:r>
      <w:r>
        <w:rPr>
          <w:sz w:val="21"/>
          <w:szCs w:val="21"/>
        </w:rPr>
        <w:t xml:space="preserve">, bei der </w:t>
      </w:r>
      <w:r w:rsidR="005B3884">
        <w:rPr>
          <w:sz w:val="21"/>
          <w:szCs w:val="21"/>
        </w:rPr>
        <w:t xml:space="preserve">lebhaften </w:t>
      </w:r>
      <w:r>
        <w:rPr>
          <w:sz w:val="21"/>
          <w:szCs w:val="21"/>
        </w:rPr>
        <w:t xml:space="preserve">Vorstellung der Branchenstudie „Quo </w:t>
      </w:r>
      <w:proofErr w:type="spellStart"/>
      <w:r>
        <w:rPr>
          <w:sz w:val="21"/>
          <w:szCs w:val="21"/>
        </w:rPr>
        <w:t>vadis</w:t>
      </w:r>
      <w:proofErr w:type="spellEnd"/>
      <w:r>
        <w:rPr>
          <w:sz w:val="21"/>
          <w:szCs w:val="21"/>
        </w:rPr>
        <w:t xml:space="preserve">, GPK-Fachhandel?“, die in Kooperation mit dem Handelsverband Koch- und Tischkultur entstanden ist. </w:t>
      </w:r>
      <w:r w:rsidR="005B3884">
        <w:rPr>
          <w:sz w:val="21"/>
          <w:szCs w:val="21"/>
        </w:rPr>
        <w:t>Die Branche ist zwar</w:t>
      </w:r>
      <w:r w:rsidR="00163FEE">
        <w:rPr>
          <w:sz w:val="21"/>
          <w:szCs w:val="21"/>
        </w:rPr>
        <w:t xml:space="preserve"> 2021</w:t>
      </w:r>
      <w:r w:rsidR="005B3884">
        <w:rPr>
          <w:sz w:val="21"/>
          <w:szCs w:val="21"/>
        </w:rPr>
        <w:t xml:space="preserve"> im Vergleich zu anderen Handelsbranchen </w:t>
      </w:r>
      <w:r w:rsidR="00163FEE">
        <w:rPr>
          <w:sz w:val="21"/>
          <w:szCs w:val="21"/>
        </w:rPr>
        <w:t xml:space="preserve">mit einem </w:t>
      </w:r>
      <w:r w:rsidR="00163FEE" w:rsidRPr="00163FEE">
        <w:rPr>
          <w:sz w:val="21"/>
          <w:szCs w:val="21"/>
        </w:rPr>
        <w:t xml:space="preserve">Marktwachstum von 3,3 Prozent auf rund 6,4 Milliarden Euro </w:t>
      </w:r>
      <w:r w:rsidR="00163FEE">
        <w:rPr>
          <w:sz w:val="21"/>
          <w:szCs w:val="21"/>
        </w:rPr>
        <w:t xml:space="preserve">Bruttoumsatz – gerade im Bereich </w:t>
      </w:r>
      <w:proofErr w:type="spellStart"/>
      <w:r w:rsidR="00163FEE">
        <w:rPr>
          <w:sz w:val="21"/>
          <w:szCs w:val="21"/>
        </w:rPr>
        <w:t>Cucina</w:t>
      </w:r>
      <w:proofErr w:type="spellEnd"/>
      <w:r w:rsidR="00163FEE">
        <w:rPr>
          <w:sz w:val="21"/>
          <w:szCs w:val="21"/>
        </w:rPr>
        <w:t xml:space="preserve"> mit einer Wachstumsrate von über 6 Prozent – </w:t>
      </w:r>
      <w:r w:rsidR="005B3884">
        <w:rPr>
          <w:sz w:val="21"/>
          <w:szCs w:val="21"/>
        </w:rPr>
        <w:t xml:space="preserve">besser durch die </w:t>
      </w:r>
      <w:proofErr w:type="spellStart"/>
      <w:r w:rsidR="005B3884">
        <w:rPr>
          <w:sz w:val="21"/>
          <w:szCs w:val="21"/>
        </w:rPr>
        <w:t>Coronakri</w:t>
      </w:r>
      <w:r w:rsidR="00163FEE">
        <w:rPr>
          <w:sz w:val="21"/>
          <w:szCs w:val="21"/>
        </w:rPr>
        <w:t>se</w:t>
      </w:r>
      <w:proofErr w:type="spellEnd"/>
      <w:r w:rsidR="00163FEE">
        <w:rPr>
          <w:sz w:val="21"/>
          <w:szCs w:val="21"/>
        </w:rPr>
        <w:t xml:space="preserve"> gekommen, g</w:t>
      </w:r>
      <w:r w:rsidR="00163FEE" w:rsidRPr="00163FEE">
        <w:rPr>
          <w:sz w:val="21"/>
          <w:szCs w:val="21"/>
        </w:rPr>
        <w:t>leichwohl wirken die gesellschaftlichen Effekte immer stärker und dies</w:t>
      </w:r>
      <w:r w:rsidR="00163FEE">
        <w:rPr>
          <w:sz w:val="21"/>
          <w:szCs w:val="21"/>
        </w:rPr>
        <w:t xml:space="preserve"> </w:t>
      </w:r>
      <w:r w:rsidR="00163FEE" w:rsidRPr="00163FEE">
        <w:rPr>
          <w:sz w:val="21"/>
          <w:szCs w:val="21"/>
        </w:rPr>
        <w:t xml:space="preserve">mündet </w:t>
      </w:r>
      <w:r w:rsidR="00163FEE">
        <w:rPr>
          <w:sz w:val="21"/>
          <w:szCs w:val="21"/>
        </w:rPr>
        <w:t xml:space="preserve">für den Fachhandel </w:t>
      </w:r>
      <w:r w:rsidR="00163FEE" w:rsidRPr="00163FEE">
        <w:rPr>
          <w:sz w:val="21"/>
          <w:szCs w:val="21"/>
        </w:rPr>
        <w:t>in Veränderungsdruck</w:t>
      </w:r>
      <w:r w:rsidR="00163FEE">
        <w:rPr>
          <w:sz w:val="21"/>
          <w:szCs w:val="21"/>
        </w:rPr>
        <w:t xml:space="preserve">. </w:t>
      </w:r>
      <w:r w:rsidR="001F6F61">
        <w:rPr>
          <w:sz w:val="21"/>
          <w:szCs w:val="21"/>
        </w:rPr>
        <w:t>D</w:t>
      </w:r>
      <w:r w:rsidR="003178AB">
        <w:rPr>
          <w:sz w:val="21"/>
          <w:szCs w:val="21"/>
        </w:rPr>
        <w:t>ementsprechend wurden die</w:t>
      </w:r>
      <w:r w:rsidR="001F6F61">
        <w:rPr>
          <w:sz w:val="21"/>
          <w:szCs w:val="21"/>
        </w:rPr>
        <w:t xml:space="preserve"> </w:t>
      </w:r>
      <w:r w:rsidR="001F6F61">
        <w:rPr>
          <w:sz w:val="21"/>
          <w:szCs w:val="21"/>
        </w:rPr>
        <w:lastRenderedPageBreak/>
        <w:t xml:space="preserve">wichtigsten Kernbedürfnisse </w:t>
      </w:r>
      <w:r w:rsidR="00D82C6B">
        <w:rPr>
          <w:sz w:val="21"/>
          <w:szCs w:val="21"/>
        </w:rPr>
        <w:t xml:space="preserve">der Konsumenten </w:t>
      </w:r>
      <w:r w:rsidR="003178AB">
        <w:rPr>
          <w:sz w:val="21"/>
          <w:szCs w:val="21"/>
        </w:rPr>
        <w:t>wie Beratung</w:t>
      </w:r>
      <w:r w:rsidR="00707838">
        <w:rPr>
          <w:sz w:val="21"/>
          <w:szCs w:val="21"/>
        </w:rPr>
        <w:t xml:space="preserve">, </w:t>
      </w:r>
      <w:r w:rsidR="003178AB">
        <w:rPr>
          <w:sz w:val="21"/>
          <w:szCs w:val="21"/>
        </w:rPr>
        <w:t xml:space="preserve">smarte digitale </w:t>
      </w:r>
      <w:r w:rsidR="00707838">
        <w:rPr>
          <w:sz w:val="21"/>
          <w:szCs w:val="21"/>
        </w:rPr>
        <w:t>Service</w:t>
      </w:r>
      <w:r w:rsidR="003178AB">
        <w:rPr>
          <w:sz w:val="21"/>
          <w:szCs w:val="21"/>
        </w:rPr>
        <w:t>s</w:t>
      </w:r>
      <w:r w:rsidR="00707838">
        <w:rPr>
          <w:sz w:val="21"/>
          <w:szCs w:val="21"/>
        </w:rPr>
        <w:t xml:space="preserve">, Nachhaltigkeit, </w:t>
      </w:r>
      <w:r w:rsidR="003178AB">
        <w:rPr>
          <w:sz w:val="21"/>
          <w:szCs w:val="21"/>
        </w:rPr>
        <w:t xml:space="preserve">Wertschätzung, </w:t>
      </w:r>
      <w:r w:rsidR="00707838">
        <w:rPr>
          <w:sz w:val="21"/>
          <w:szCs w:val="21"/>
        </w:rPr>
        <w:t>Individualität</w:t>
      </w:r>
      <w:r w:rsidR="003178AB">
        <w:rPr>
          <w:sz w:val="21"/>
          <w:szCs w:val="21"/>
        </w:rPr>
        <w:t xml:space="preserve"> und kontextbezogene Produktwelten</w:t>
      </w:r>
      <w:r w:rsidR="001F6F61">
        <w:rPr>
          <w:sz w:val="21"/>
          <w:szCs w:val="21"/>
        </w:rPr>
        <w:t xml:space="preserve"> </w:t>
      </w:r>
      <w:r w:rsidR="00707838">
        <w:rPr>
          <w:sz w:val="21"/>
          <w:szCs w:val="21"/>
        </w:rPr>
        <w:t xml:space="preserve">sowie der daraus resultierende ideale Store der Zukunft vorgestellt. </w:t>
      </w:r>
      <w:r w:rsidR="003178AB">
        <w:rPr>
          <w:sz w:val="21"/>
          <w:szCs w:val="21"/>
        </w:rPr>
        <w:t xml:space="preserve">Der Übergang zum Workshop „Customer Needs“ war fließend. Denn dort setzten sich alle Teilnehmer mit den vier wichtigsten Kernbedürfnissen intensiv auseinander </w:t>
      </w:r>
      <w:r w:rsidR="00514C1D">
        <w:rPr>
          <w:sz w:val="21"/>
          <w:szCs w:val="21"/>
        </w:rPr>
        <w:t xml:space="preserve">und formulierten </w:t>
      </w:r>
      <w:r w:rsidR="00AA3111">
        <w:rPr>
          <w:sz w:val="21"/>
          <w:szCs w:val="21"/>
        </w:rPr>
        <w:t>Ihre Ideen und Vorschläge</w:t>
      </w:r>
      <w:r w:rsidR="00514C1D">
        <w:rPr>
          <w:sz w:val="21"/>
          <w:szCs w:val="21"/>
        </w:rPr>
        <w:t xml:space="preserve"> sowohl aus Sicht des Handels und der Hersteller als auch aus kooperativer Sicht. Die Themen rund um die Digitalisierung und kontextbezogene Produktwelten wurden eindeutig am intensivsten diskutiert.</w:t>
      </w:r>
    </w:p>
    <w:p w:rsidR="00514C1D" w:rsidRDefault="00514C1D" w:rsidP="00F91AFA">
      <w:pPr>
        <w:spacing w:before="120" w:line="360" w:lineRule="auto"/>
        <w:ind w:right="-28"/>
        <w:jc w:val="both"/>
        <w:rPr>
          <w:sz w:val="21"/>
          <w:szCs w:val="21"/>
        </w:rPr>
      </w:pPr>
      <w:r>
        <w:rPr>
          <w:sz w:val="21"/>
          <w:szCs w:val="21"/>
        </w:rPr>
        <w:t xml:space="preserve">Nach einer kurzen Pause stand der letzte, absichtlich offen gehaltene, Programmpunkt „Podiums-/Saaldiskussion zu den aktuellen Branchenherausforderungen“ auf der Agenda. Boris Hedde eröffnete den Austausch mit der Frage „Wo drückt der Schuh?“ </w:t>
      </w:r>
      <w:r w:rsidR="00005963">
        <w:rPr>
          <w:sz w:val="21"/>
          <w:szCs w:val="21"/>
        </w:rPr>
        <w:t xml:space="preserve">an die Podiumsteilnehmer </w:t>
      </w:r>
      <w:proofErr w:type="spellStart"/>
      <w:r w:rsidR="00005963">
        <w:rPr>
          <w:sz w:val="21"/>
          <w:szCs w:val="21"/>
        </w:rPr>
        <w:t>Thimo</w:t>
      </w:r>
      <w:proofErr w:type="spellEnd"/>
      <w:r w:rsidR="00005963">
        <w:rPr>
          <w:sz w:val="21"/>
          <w:szCs w:val="21"/>
        </w:rPr>
        <w:t xml:space="preserve"> Braun (Karl Weis und Cie.), </w:t>
      </w:r>
      <w:proofErr w:type="spellStart"/>
      <w:r w:rsidR="00005963">
        <w:rPr>
          <w:sz w:val="21"/>
          <w:szCs w:val="21"/>
        </w:rPr>
        <w:t>Nuno</w:t>
      </w:r>
      <w:proofErr w:type="spellEnd"/>
      <w:r w:rsidR="00005963">
        <w:rPr>
          <w:sz w:val="21"/>
          <w:szCs w:val="21"/>
        </w:rPr>
        <w:t xml:space="preserve"> </w:t>
      </w:r>
      <w:proofErr w:type="spellStart"/>
      <w:r w:rsidR="00005963">
        <w:rPr>
          <w:sz w:val="21"/>
          <w:szCs w:val="21"/>
        </w:rPr>
        <w:t>Gameiro</w:t>
      </w:r>
      <w:proofErr w:type="spellEnd"/>
      <w:r w:rsidR="00005963">
        <w:rPr>
          <w:sz w:val="21"/>
          <w:szCs w:val="21"/>
        </w:rPr>
        <w:t xml:space="preserve"> (ASA </w:t>
      </w:r>
      <w:proofErr w:type="spellStart"/>
      <w:r w:rsidR="00005963">
        <w:rPr>
          <w:sz w:val="21"/>
          <w:szCs w:val="21"/>
        </w:rPr>
        <w:t>Selection</w:t>
      </w:r>
      <w:proofErr w:type="spellEnd"/>
      <w:r w:rsidR="00005963">
        <w:rPr>
          <w:sz w:val="21"/>
          <w:szCs w:val="21"/>
        </w:rPr>
        <w:t xml:space="preserve">), André Garcia (F. S. </w:t>
      </w:r>
      <w:proofErr w:type="spellStart"/>
      <w:r w:rsidR="00005963">
        <w:rPr>
          <w:sz w:val="21"/>
          <w:szCs w:val="21"/>
        </w:rPr>
        <w:t>Kustermann</w:t>
      </w:r>
      <w:proofErr w:type="spellEnd"/>
      <w:r w:rsidR="00005963">
        <w:rPr>
          <w:sz w:val="21"/>
          <w:szCs w:val="21"/>
        </w:rPr>
        <w:t xml:space="preserve">), Susanne </w:t>
      </w:r>
      <w:proofErr w:type="spellStart"/>
      <w:r w:rsidR="00005963">
        <w:rPr>
          <w:sz w:val="21"/>
          <w:szCs w:val="21"/>
        </w:rPr>
        <w:t>Heiduczek</w:t>
      </w:r>
      <w:proofErr w:type="spellEnd"/>
      <w:r w:rsidR="00005963">
        <w:rPr>
          <w:sz w:val="21"/>
          <w:szCs w:val="21"/>
        </w:rPr>
        <w:t xml:space="preserve"> (EK/</w:t>
      </w:r>
      <w:proofErr w:type="spellStart"/>
      <w:r w:rsidR="00005963">
        <w:rPr>
          <w:sz w:val="21"/>
          <w:szCs w:val="21"/>
        </w:rPr>
        <w:t>servicegroup</w:t>
      </w:r>
      <w:proofErr w:type="spellEnd"/>
      <w:r w:rsidR="00005963">
        <w:rPr>
          <w:sz w:val="21"/>
          <w:szCs w:val="21"/>
        </w:rPr>
        <w:t>), Jens-Peter Schlingmann (Villeroy &amp; Boch) und Stefan Sto</w:t>
      </w:r>
      <w:r w:rsidR="002C5E49">
        <w:rPr>
          <w:sz w:val="21"/>
          <w:szCs w:val="21"/>
        </w:rPr>
        <w:t>r</w:t>
      </w:r>
      <w:r w:rsidR="00005963">
        <w:rPr>
          <w:sz w:val="21"/>
          <w:szCs w:val="21"/>
        </w:rPr>
        <w:t>ch (D.</w:t>
      </w:r>
      <w:r w:rsidR="00AA3111">
        <w:rPr>
          <w:sz w:val="21"/>
          <w:szCs w:val="21"/>
        </w:rPr>
        <w:t xml:space="preserve"> </w:t>
      </w:r>
      <w:r w:rsidR="00005963">
        <w:rPr>
          <w:sz w:val="21"/>
          <w:szCs w:val="21"/>
        </w:rPr>
        <w:t>F. Rabe &amp; Co</w:t>
      </w:r>
      <w:r w:rsidR="00F76B57">
        <w:rPr>
          <w:sz w:val="21"/>
          <w:szCs w:val="21"/>
        </w:rPr>
        <w:t>.</w:t>
      </w:r>
      <w:r w:rsidR="00005963">
        <w:rPr>
          <w:sz w:val="21"/>
          <w:szCs w:val="21"/>
        </w:rPr>
        <w:t xml:space="preserve">). Es folgte eine konstruktive </w:t>
      </w:r>
      <w:r w:rsidR="005C7882">
        <w:rPr>
          <w:sz w:val="21"/>
          <w:szCs w:val="21"/>
        </w:rPr>
        <w:t>(Saal-)</w:t>
      </w:r>
      <w:r w:rsidR="00005963">
        <w:rPr>
          <w:sz w:val="21"/>
          <w:szCs w:val="21"/>
        </w:rPr>
        <w:t>Diskussion zu</w:t>
      </w:r>
      <w:bookmarkStart w:id="5" w:name="_GoBack"/>
      <w:bookmarkEnd w:id="5"/>
      <w:r w:rsidR="00005963">
        <w:rPr>
          <w:sz w:val="21"/>
          <w:szCs w:val="21"/>
        </w:rPr>
        <w:t xml:space="preserve"> Themen wie die Gleichberechtigung der Vertriebswege, Lieferschwierigkeiten, kurzfristige Preiserhöhungen, </w:t>
      </w:r>
      <w:r w:rsidR="005C7882">
        <w:rPr>
          <w:sz w:val="21"/>
          <w:szCs w:val="21"/>
        </w:rPr>
        <w:t>die aktuelle und künftige Rollenverteilung zwischen</w:t>
      </w:r>
      <w:r w:rsidR="00005963">
        <w:rPr>
          <w:sz w:val="21"/>
          <w:szCs w:val="21"/>
        </w:rPr>
        <w:t xml:space="preserve"> </w:t>
      </w:r>
      <w:r w:rsidR="005C7882">
        <w:rPr>
          <w:sz w:val="21"/>
          <w:szCs w:val="21"/>
        </w:rPr>
        <w:t xml:space="preserve">dem </w:t>
      </w:r>
      <w:r w:rsidR="00005963">
        <w:rPr>
          <w:sz w:val="21"/>
          <w:szCs w:val="21"/>
        </w:rPr>
        <w:t>stationäre</w:t>
      </w:r>
      <w:r w:rsidR="005C7882">
        <w:rPr>
          <w:sz w:val="21"/>
          <w:szCs w:val="21"/>
        </w:rPr>
        <w:t>n</w:t>
      </w:r>
      <w:r w:rsidR="00005963">
        <w:rPr>
          <w:sz w:val="21"/>
          <w:szCs w:val="21"/>
        </w:rPr>
        <w:t xml:space="preserve"> und </w:t>
      </w:r>
      <w:r w:rsidR="005C7882">
        <w:rPr>
          <w:sz w:val="21"/>
          <w:szCs w:val="21"/>
        </w:rPr>
        <w:t xml:space="preserve">dem </w:t>
      </w:r>
      <w:r w:rsidR="00005963">
        <w:rPr>
          <w:sz w:val="21"/>
          <w:szCs w:val="21"/>
        </w:rPr>
        <w:t>Onlinehandel, Energiekostenexplosion</w:t>
      </w:r>
      <w:r w:rsidR="005C7882">
        <w:rPr>
          <w:sz w:val="21"/>
          <w:szCs w:val="21"/>
        </w:rPr>
        <w:t xml:space="preserve"> und</w:t>
      </w:r>
      <w:r w:rsidR="00005963">
        <w:rPr>
          <w:sz w:val="21"/>
          <w:szCs w:val="21"/>
        </w:rPr>
        <w:t xml:space="preserve"> Inflation</w:t>
      </w:r>
      <w:r w:rsidR="005C7882">
        <w:rPr>
          <w:sz w:val="21"/>
          <w:szCs w:val="21"/>
        </w:rPr>
        <w:t>, bei der jeder Teilnehmer</w:t>
      </w:r>
      <w:r w:rsidR="00005963">
        <w:rPr>
          <w:sz w:val="21"/>
          <w:szCs w:val="21"/>
        </w:rPr>
        <w:t xml:space="preserve"> einen aufschlussreichen Einblick in die Sicht seiner Dinge</w:t>
      </w:r>
      <w:r w:rsidR="005C7882">
        <w:rPr>
          <w:sz w:val="21"/>
          <w:szCs w:val="21"/>
        </w:rPr>
        <w:t xml:space="preserve"> gab. Nicht nur die Teilnehmer, sondern auch der Handelsverband haben an diesem Tag wertvolle Kenntnisse mitgenommen, die in die zukünftige Branchenarbeit einfließen werden. </w:t>
      </w:r>
    </w:p>
    <w:p w:rsidR="00F71684" w:rsidRDefault="005C7882" w:rsidP="00F91AFA">
      <w:pPr>
        <w:spacing w:before="120" w:line="360" w:lineRule="auto"/>
        <w:ind w:right="-28"/>
        <w:jc w:val="both"/>
        <w:rPr>
          <w:sz w:val="21"/>
          <w:szCs w:val="21"/>
        </w:rPr>
      </w:pPr>
      <w:r>
        <w:rPr>
          <w:sz w:val="21"/>
          <w:szCs w:val="21"/>
        </w:rPr>
        <w:t>Christina van Dorp, Präsidentin des Handelsverbands Koch- und Tischkultur, resümiert den Tag: „</w:t>
      </w:r>
      <w:r w:rsidR="00E71207">
        <w:rPr>
          <w:sz w:val="21"/>
          <w:szCs w:val="21"/>
        </w:rPr>
        <w:t xml:space="preserve">Ich </w:t>
      </w:r>
      <w:r>
        <w:rPr>
          <w:sz w:val="21"/>
          <w:szCs w:val="21"/>
        </w:rPr>
        <w:t xml:space="preserve">freue </w:t>
      </w:r>
      <w:r w:rsidR="00E71207">
        <w:rPr>
          <w:sz w:val="21"/>
          <w:szCs w:val="21"/>
        </w:rPr>
        <w:t>mich sehr darüber, dass die wichtigsten</w:t>
      </w:r>
      <w:r>
        <w:rPr>
          <w:sz w:val="21"/>
          <w:szCs w:val="21"/>
        </w:rPr>
        <w:t xml:space="preserve"> Branchenakteure unserer Einladung gefolgt sind. Es hat sich wieder einmal herauskristallisiert, dass v</w:t>
      </w:r>
      <w:r w:rsidR="00B11008">
        <w:rPr>
          <w:sz w:val="21"/>
          <w:szCs w:val="21"/>
        </w:rPr>
        <w:t>irtuelle Treffen nicht ansatzweise</w:t>
      </w:r>
      <w:r>
        <w:rPr>
          <w:sz w:val="21"/>
          <w:szCs w:val="21"/>
        </w:rPr>
        <w:t xml:space="preserve"> ein persönliches Treffen ersetzen können. Unsere Branche und die Messe lebt von persönlichen Beg</w:t>
      </w:r>
      <w:r w:rsidR="00B11008">
        <w:rPr>
          <w:sz w:val="21"/>
          <w:szCs w:val="21"/>
        </w:rPr>
        <w:t>eg</w:t>
      </w:r>
      <w:r>
        <w:rPr>
          <w:sz w:val="21"/>
          <w:szCs w:val="21"/>
        </w:rPr>
        <w:t>nungen</w:t>
      </w:r>
      <w:r w:rsidR="00B11008">
        <w:rPr>
          <w:sz w:val="21"/>
          <w:szCs w:val="21"/>
        </w:rPr>
        <w:t xml:space="preserve">. Die Resonanz zeigt, dass das GPK-Gipfeltreffen in seiner Kompaktheit und Intensivität ein voller Erfolg war. </w:t>
      </w:r>
      <w:r w:rsidR="0070472B">
        <w:rPr>
          <w:sz w:val="21"/>
          <w:szCs w:val="21"/>
        </w:rPr>
        <w:t xml:space="preserve">Selten wurde in dieser Offenheit miteinander gesprochen. </w:t>
      </w:r>
      <w:r w:rsidR="00B11008">
        <w:rPr>
          <w:sz w:val="21"/>
          <w:szCs w:val="21"/>
        </w:rPr>
        <w:t xml:space="preserve">Sicherlich wird es nicht das letzte </w:t>
      </w:r>
      <w:r w:rsidR="0070472B">
        <w:rPr>
          <w:sz w:val="21"/>
          <w:szCs w:val="21"/>
        </w:rPr>
        <w:t xml:space="preserve">Gipfeltreffen </w:t>
      </w:r>
      <w:r w:rsidR="00B11008">
        <w:rPr>
          <w:sz w:val="21"/>
          <w:szCs w:val="21"/>
        </w:rPr>
        <w:t>gewesen sein.“</w:t>
      </w:r>
    </w:p>
    <w:p w:rsidR="000433AB" w:rsidRDefault="00B11008" w:rsidP="00F91AFA">
      <w:pPr>
        <w:spacing w:before="120" w:line="360" w:lineRule="auto"/>
        <w:ind w:right="-28"/>
        <w:jc w:val="both"/>
        <w:rPr>
          <w:sz w:val="21"/>
          <w:szCs w:val="21"/>
        </w:rPr>
      </w:pPr>
      <w:r>
        <w:rPr>
          <w:sz w:val="21"/>
          <w:szCs w:val="21"/>
        </w:rPr>
        <w:t xml:space="preserve">„Im Rahmen unserer Task </w:t>
      </w:r>
      <w:proofErr w:type="spellStart"/>
      <w:r>
        <w:rPr>
          <w:sz w:val="21"/>
          <w:szCs w:val="21"/>
        </w:rPr>
        <w:t>force</w:t>
      </w:r>
      <w:proofErr w:type="spellEnd"/>
      <w:r>
        <w:rPr>
          <w:sz w:val="21"/>
          <w:szCs w:val="21"/>
        </w:rPr>
        <w:t>, welche urs</w:t>
      </w:r>
      <w:r w:rsidR="00F91AFA">
        <w:rPr>
          <w:sz w:val="21"/>
          <w:szCs w:val="21"/>
        </w:rPr>
        <w:t>prünglich als Think Tank für unsere</w:t>
      </w:r>
      <w:r>
        <w:rPr>
          <w:sz w:val="21"/>
          <w:szCs w:val="21"/>
        </w:rPr>
        <w:t xml:space="preserve"> </w:t>
      </w:r>
      <w:r w:rsidR="00F91AFA">
        <w:rPr>
          <w:sz w:val="21"/>
          <w:szCs w:val="21"/>
        </w:rPr>
        <w:t>ursprüngliche Branchentagung initiiert wurde,</w:t>
      </w:r>
      <w:r>
        <w:rPr>
          <w:sz w:val="21"/>
          <w:szCs w:val="21"/>
        </w:rPr>
        <w:t xml:space="preserve"> sind wir im ständigen Austausch mit Handel und Industrie. </w:t>
      </w:r>
      <w:r w:rsidR="00F91AFA">
        <w:rPr>
          <w:sz w:val="21"/>
          <w:szCs w:val="21"/>
        </w:rPr>
        <w:t>D</w:t>
      </w:r>
      <w:r>
        <w:rPr>
          <w:sz w:val="21"/>
          <w:szCs w:val="21"/>
        </w:rPr>
        <w:t xml:space="preserve">ort kam immer wieder der </w:t>
      </w:r>
      <w:r>
        <w:rPr>
          <w:sz w:val="21"/>
          <w:szCs w:val="21"/>
        </w:rPr>
        <w:lastRenderedPageBreak/>
        <w:t xml:space="preserve">Wunsch nach </w:t>
      </w:r>
      <w:r w:rsidR="00F91AFA">
        <w:rPr>
          <w:sz w:val="21"/>
          <w:szCs w:val="21"/>
        </w:rPr>
        <w:t xml:space="preserve">einem </w:t>
      </w:r>
      <w:r>
        <w:rPr>
          <w:sz w:val="21"/>
          <w:szCs w:val="21"/>
        </w:rPr>
        <w:t>persönliche</w:t>
      </w:r>
      <w:r w:rsidR="00F91AFA">
        <w:rPr>
          <w:sz w:val="21"/>
          <w:szCs w:val="21"/>
        </w:rPr>
        <w:t>n</w:t>
      </w:r>
      <w:r>
        <w:rPr>
          <w:sz w:val="21"/>
          <w:szCs w:val="21"/>
        </w:rPr>
        <w:t xml:space="preserve"> Austausch </w:t>
      </w:r>
      <w:r w:rsidR="00F91AFA">
        <w:rPr>
          <w:sz w:val="21"/>
          <w:szCs w:val="21"/>
        </w:rPr>
        <w:t xml:space="preserve">im überschaubaren Rahmen </w:t>
      </w:r>
      <w:r>
        <w:rPr>
          <w:sz w:val="21"/>
          <w:szCs w:val="21"/>
        </w:rPr>
        <w:t xml:space="preserve">zutage. </w:t>
      </w:r>
      <w:r w:rsidR="00F91AFA">
        <w:rPr>
          <w:sz w:val="21"/>
          <w:szCs w:val="21"/>
        </w:rPr>
        <w:t>Ich freue mich sehr darüber, dass wir mit dem GPK-Gipfeltreffen genau diese Lücke geschlossen haben“,</w:t>
      </w:r>
      <w:r>
        <w:rPr>
          <w:sz w:val="21"/>
          <w:szCs w:val="21"/>
        </w:rPr>
        <w:t xml:space="preserve"> ergänzt Christian Haeser, Geschäftsführer des Handelsverbands Koch- und Tischkultur.</w:t>
      </w:r>
    </w:p>
    <w:p w:rsidR="002236DC" w:rsidRDefault="002236DC" w:rsidP="00F91AFA">
      <w:pPr>
        <w:spacing w:before="120" w:line="360" w:lineRule="auto"/>
        <w:ind w:right="-28"/>
        <w:jc w:val="both"/>
        <w:rPr>
          <w:sz w:val="21"/>
          <w:szCs w:val="21"/>
        </w:rPr>
      </w:pPr>
    </w:p>
    <w:p w:rsidR="005A542B" w:rsidRPr="005A542B" w:rsidRDefault="005A542B" w:rsidP="00F91AFA">
      <w:pPr>
        <w:spacing w:before="120" w:line="360" w:lineRule="auto"/>
        <w:ind w:right="-28"/>
        <w:jc w:val="both"/>
        <w:rPr>
          <w:sz w:val="21"/>
          <w:szCs w:val="21"/>
        </w:rPr>
      </w:pPr>
      <w:r w:rsidRPr="005A542B">
        <w:rPr>
          <w:sz w:val="21"/>
          <w:szCs w:val="21"/>
        </w:rPr>
        <w:t xml:space="preserve">Die Studie </w:t>
      </w:r>
      <w:r>
        <w:rPr>
          <w:sz w:val="21"/>
          <w:szCs w:val="21"/>
        </w:rPr>
        <w:t xml:space="preserve">„Quo </w:t>
      </w:r>
      <w:proofErr w:type="spellStart"/>
      <w:r>
        <w:rPr>
          <w:sz w:val="21"/>
          <w:szCs w:val="21"/>
        </w:rPr>
        <w:t>vadis</w:t>
      </w:r>
      <w:proofErr w:type="spellEnd"/>
      <w:r>
        <w:rPr>
          <w:sz w:val="21"/>
          <w:szCs w:val="21"/>
        </w:rPr>
        <w:t xml:space="preserve">, GPK-Fachhandel?“ </w:t>
      </w:r>
      <w:r w:rsidRPr="005A542B">
        <w:rPr>
          <w:sz w:val="21"/>
          <w:szCs w:val="21"/>
        </w:rPr>
        <w:t xml:space="preserve">ist </w:t>
      </w:r>
      <w:r>
        <w:rPr>
          <w:sz w:val="21"/>
          <w:szCs w:val="21"/>
        </w:rPr>
        <w:t xml:space="preserve">direkt beim Handelsverband Koch- und Tischkultur oder </w:t>
      </w:r>
      <w:r w:rsidRPr="005A542B">
        <w:rPr>
          <w:sz w:val="21"/>
          <w:szCs w:val="21"/>
        </w:rPr>
        <w:t xml:space="preserve">im </w:t>
      </w:r>
      <w:hyperlink r:id="rId9" w:history="1">
        <w:r w:rsidRPr="005A542B">
          <w:rPr>
            <w:rStyle w:val="Hyperlink"/>
            <w:sz w:val="21"/>
            <w:szCs w:val="21"/>
          </w:rPr>
          <w:t>IFH Shop</w:t>
        </w:r>
      </w:hyperlink>
      <w:r w:rsidRPr="005A542B">
        <w:rPr>
          <w:sz w:val="21"/>
          <w:szCs w:val="21"/>
        </w:rPr>
        <w:t xml:space="preserve"> für 550 € zzgl. MwSt. verfügbar. Mitglieder des Handelsverbands Deutschland (HDE</w:t>
      </w:r>
      <w:r>
        <w:rPr>
          <w:sz w:val="21"/>
          <w:szCs w:val="21"/>
        </w:rPr>
        <w:t>) erhalten einen Rabatt von 20 Prozent</w:t>
      </w:r>
      <w:r w:rsidRPr="005A542B">
        <w:rPr>
          <w:sz w:val="21"/>
          <w:szCs w:val="21"/>
        </w:rPr>
        <w:t>.</w:t>
      </w:r>
    </w:p>
    <w:p w:rsidR="00735852" w:rsidRDefault="00735852" w:rsidP="00F91AFA">
      <w:pPr>
        <w:spacing w:before="120" w:line="240" w:lineRule="exact"/>
        <w:ind w:right="-28"/>
        <w:jc w:val="both"/>
        <w:rPr>
          <w:sz w:val="18"/>
          <w:szCs w:val="18"/>
        </w:rPr>
      </w:pPr>
      <w:r>
        <w:rPr>
          <w:sz w:val="18"/>
          <w:szCs w:val="18"/>
        </w:rPr>
        <w:t xml:space="preserve">Bildmaterial steht auf der Homepage </w:t>
      </w:r>
      <w:hyperlink r:id="rId10" w:history="1">
        <w:r w:rsidRPr="007063BD">
          <w:rPr>
            <w:rStyle w:val="Hyperlink"/>
            <w:sz w:val="18"/>
            <w:szCs w:val="18"/>
          </w:rPr>
          <w:t>www.hwb.online</w:t>
        </w:r>
      </w:hyperlink>
      <w:r>
        <w:rPr>
          <w:sz w:val="18"/>
          <w:szCs w:val="18"/>
        </w:rPr>
        <w:t xml:space="preserve"> im Pressebereich zur Verfügung.</w:t>
      </w:r>
    </w:p>
    <w:p w:rsidR="00F71684" w:rsidRDefault="00F71684" w:rsidP="00F91AFA">
      <w:pPr>
        <w:spacing w:before="120" w:line="240" w:lineRule="exact"/>
        <w:ind w:right="-28"/>
        <w:jc w:val="both"/>
        <w:rPr>
          <w:sz w:val="18"/>
          <w:szCs w:val="18"/>
        </w:rPr>
      </w:pPr>
      <w:r w:rsidRPr="00CD670C">
        <w:rPr>
          <w:sz w:val="18"/>
          <w:szCs w:val="18"/>
        </w:rPr>
        <w:t xml:space="preserve">Der </w:t>
      </w:r>
      <w:r w:rsidR="00CD670C">
        <w:rPr>
          <w:sz w:val="18"/>
          <w:szCs w:val="18"/>
        </w:rPr>
        <w:t>Handelsverband Koch- und Tischkultur</w:t>
      </w:r>
      <w:r w:rsidRPr="00CD670C">
        <w:rPr>
          <w:sz w:val="18"/>
          <w:szCs w:val="18"/>
        </w:rPr>
        <w:t xml:space="preserve"> (GPK) ist die berufspolitische und fachliche Interessenvertretung von über 4.000 Fachgeschäften mit Tisch-, Küchen- und Wohnaccessoires sowie Geschenkartikeln. Rund 20.000 Menschen sind in Voll- und Teilzeit beschäftigt. Der Branchenumsatz beläuft sich auf knapp 6 Mrd. Euro. Der </w:t>
      </w:r>
      <w:r w:rsidR="009E0978">
        <w:rPr>
          <w:sz w:val="18"/>
          <w:szCs w:val="18"/>
        </w:rPr>
        <w:t>Handelsverband</w:t>
      </w:r>
      <w:r w:rsidRPr="00CD670C">
        <w:rPr>
          <w:sz w:val="18"/>
          <w:szCs w:val="18"/>
        </w:rPr>
        <w:t xml:space="preserve"> GPK ist dem Handelsverband Deutschland (HDE) angeschlossen.</w:t>
      </w:r>
    </w:p>
    <w:p w:rsidR="00CD670C" w:rsidRPr="00CD670C" w:rsidRDefault="00CD670C" w:rsidP="00F91AFA">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CD670C" w:rsidRDefault="00CD670C" w:rsidP="00F91AFA">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rsidR="00CD670C" w:rsidRPr="00CD670C" w:rsidRDefault="00CD670C" w:rsidP="00F91AFA">
      <w:pPr>
        <w:spacing w:before="120" w:line="240" w:lineRule="exact"/>
        <w:ind w:right="-28"/>
        <w:jc w:val="both"/>
        <w:rPr>
          <w:sz w:val="18"/>
          <w:szCs w:val="18"/>
        </w:rPr>
      </w:pPr>
    </w:p>
    <w:sectPr w:rsidR="00CD670C" w:rsidRPr="00CD670C" w:rsidSect="00967899">
      <w:headerReference w:type="default" r:id="rId11"/>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69" w:rsidRDefault="00312C69">
      <w:r>
        <w:separator/>
      </w:r>
    </w:p>
  </w:endnote>
  <w:endnote w:type="continuationSeparator" w:id="0">
    <w:p w:rsidR="00312C69" w:rsidRDefault="0031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69" w:rsidRDefault="00312C69">
      <w:r>
        <w:separator/>
      </w:r>
    </w:p>
  </w:footnote>
  <w:footnote w:type="continuationSeparator" w:id="0">
    <w:p w:rsidR="00312C69" w:rsidRDefault="00312C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DB7797">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69"/>
    <w:rsid w:val="000006F7"/>
    <w:rsid w:val="00000870"/>
    <w:rsid w:val="0000493A"/>
    <w:rsid w:val="00005963"/>
    <w:rsid w:val="00006FE8"/>
    <w:rsid w:val="00015E3B"/>
    <w:rsid w:val="000179B5"/>
    <w:rsid w:val="000207AD"/>
    <w:rsid w:val="00024A92"/>
    <w:rsid w:val="00030491"/>
    <w:rsid w:val="00034616"/>
    <w:rsid w:val="0004097E"/>
    <w:rsid w:val="00041653"/>
    <w:rsid w:val="000433AB"/>
    <w:rsid w:val="00045A0C"/>
    <w:rsid w:val="000501C2"/>
    <w:rsid w:val="00050408"/>
    <w:rsid w:val="00053D39"/>
    <w:rsid w:val="00055D86"/>
    <w:rsid w:val="00060B2E"/>
    <w:rsid w:val="0006780F"/>
    <w:rsid w:val="00071B38"/>
    <w:rsid w:val="0007270B"/>
    <w:rsid w:val="00080B5F"/>
    <w:rsid w:val="0008119B"/>
    <w:rsid w:val="0008684C"/>
    <w:rsid w:val="00090128"/>
    <w:rsid w:val="00091337"/>
    <w:rsid w:val="0009136B"/>
    <w:rsid w:val="000916A1"/>
    <w:rsid w:val="0009285F"/>
    <w:rsid w:val="000A0708"/>
    <w:rsid w:val="000A3A4E"/>
    <w:rsid w:val="000A4D87"/>
    <w:rsid w:val="000B0F92"/>
    <w:rsid w:val="000B52C5"/>
    <w:rsid w:val="000B7B1A"/>
    <w:rsid w:val="000C29B9"/>
    <w:rsid w:val="000D085B"/>
    <w:rsid w:val="000D1405"/>
    <w:rsid w:val="000D1BA4"/>
    <w:rsid w:val="000D65FD"/>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0EF3"/>
    <w:rsid w:val="0014229D"/>
    <w:rsid w:val="00143742"/>
    <w:rsid w:val="00163FEE"/>
    <w:rsid w:val="00164E76"/>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506A"/>
    <w:rsid w:val="001F6F61"/>
    <w:rsid w:val="001F7D8D"/>
    <w:rsid w:val="002002CB"/>
    <w:rsid w:val="00204A6A"/>
    <w:rsid w:val="00206542"/>
    <w:rsid w:val="0021491F"/>
    <w:rsid w:val="00216DFC"/>
    <w:rsid w:val="002218DB"/>
    <w:rsid w:val="00222365"/>
    <w:rsid w:val="002236DC"/>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5E49"/>
    <w:rsid w:val="002C7D5D"/>
    <w:rsid w:val="002D05DD"/>
    <w:rsid w:val="002D061D"/>
    <w:rsid w:val="002D25E1"/>
    <w:rsid w:val="002D279B"/>
    <w:rsid w:val="002D3E25"/>
    <w:rsid w:val="002E4883"/>
    <w:rsid w:val="002F2589"/>
    <w:rsid w:val="002F3211"/>
    <w:rsid w:val="002F51F7"/>
    <w:rsid w:val="002F5B8A"/>
    <w:rsid w:val="003025EE"/>
    <w:rsid w:val="00306AF5"/>
    <w:rsid w:val="00312C69"/>
    <w:rsid w:val="00313E2C"/>
    <w:rsid w:val="003178AB"/>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62FA8"/>
    <w:rsid w:val="0046709E"/>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4C1D"/>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542B"/>
    <w:rsid w:val="005A6616"/>
    <w:rsid w:val="005A68E0"/>
    <w:rsid w:val="005B1D80"/>
    <w:rsid w:val="005B3453"/>
    <w:rsid w:val="005B3884"/>
    <w:rsid w:val="005B4512"/>
    <w:rsid w:val="005B50D7"/>
    <w:rsid w:val="005B522A"/>
    <w:rsid w:val="005B6780"/>
    <w:rsid w:val="005C2E3F"/>
    <w:rsid w:val="005C3B6B"/>
    <w:rsid w:val="005C7882"/>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472B"/>
    <w:rsid w:val="0070548D"/>
    <w:rsid w:val="0070635A"/>
    <w:rsid w:val="00707838"/>
    <w:rsid w:val="0071509C"/>
    <w:rsid w:val="00721D14"/>
    <w:rsid w:val="00721EAE"/>
    <w:rsid w:val="00723167"/>
    <w:rsid w:val="00725DFB"/>
    <w:rsid w:val="00726D94"/>
    <w:rsid w:val="00727AF2"/>
    <w:rsid w:val="00735852"/>
    <w:rsid w:val="00735B08"/>
    <w:rsid w:val="00736F16"/>
    <w:rsid w:val="00742F0A"/>
    <w:rsid w:val="00752EBA"/>
    <w:rsid w:val="0075339B"/>
    <w:rsid w:val="007628C8"/>
    <w:rsid w:val="00765275"/>
    <w:rsid w:val="007669E9"/>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1803"/>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C3839"/>
    <w:rsid w:val="008D73C0"/>
    <w:rsid w:val="008D763B"/>
    <w:rsid w:val="008D7CC2"/>
    <w:rsid w:val="008E4268"/>
    <w:rsid w:val="008E4D91"/>
    <w:rsid w:val="008F553E"/>
    <w:rsid w:val="009028EB"/>
    <w:rsid w:val="009032C2"/>
    <w:rsid w:val="00903CE9"/>
    <w:rsid w:val="00917A1A"/>
    <w:rsid w:val="00922989"/>
    <w:rsid w:val="009265A8"/>
    <w:rsid w:val="00926B24"/>
    <w:rsid w:val="009311E4"/>
    <w:rsid w:val="0093600B"/>
    <w:rsid w:val="009426CE"/>
    <w:rsid w:val="00945379"/>
    <w:rsid w:val="00945A7F"/>
    <w:rsid w:val="00945B9A"/>
    <w:rsid w:val="009514FC"/>
    <w:rsid w:val="00951F75"/>
    <w:rsid w:val="00961769"/>
    <w:rsid w:val="00964E7D"/>
    <w:rsid w:val="00967899"/>
    <w:rsid w:val="009713CF"/>
    <w:rsid w:val="00971EC6"/>
    <w:rsid w:val="0097228B"/>
    <w:rsid w:val="00981FBE"/>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F69"/>
    <w:rsid w:val="00AA3111"/>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1008"/>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C5733"/>
    <w:rsid w:val="00CC6045"/>
    <w:rsid w:val="00CD3E46"/>
    <w:rsid w:val="00CD670C"/>
    <w:rsid w:val="00CE5C5F"/>
    <w:rsid w:val="00CF3048"/>
    <w:rsid w:val="00CF468C"/>
    <w:rsid w:val="00CF5879"/>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2C6B"/>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B7797"/>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1207"/>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2B1C"/>
    <w:rsid w:val="00F55659"/>
    <w:rsid w:val="00F56BBC"/>
    <w:rsid w:val="00F602B6"/>
    <w:rsid w:val="00F61D27"/>
    <w:rsid w:val="00F64309"/>
    <w:rsid w:val="00F71684"/>
    <w:rsid w:val="00F7273B"/>
    <w:rsid w:val="00F733EA"/>
    <w:rsid w:val="00F73569"/>
    <w:rsid w:val="00F76B57"/>
    <w:rsid w:val="00F81D41"/>
    <w:rsid w:val="00F85AC7"/>
    <w:rsid w:val="00F91AFA"/>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B9EAD49"/>
  <w15:docId w15:val="{C3B7451F-8CBF-4357-B4BE-5A65AD2E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character" w:styleId="Hyperlink">
    <w:name w:val="Hyperlink"/>
    <w:basedOn w:val="Absatz-Standardschriftart"/>
    <w:uiPriority w:val="99"/>
    <w:unhideWhenUsed/>
    <w:rsid w:val="005A542B"/>
    <w:rPr>
      <w:color w:val="0000FF" w:themeColor="hyperlink"/>
      <w:u w:val="single"/>
    </w:rPr>
  </w:style>
  <w:style w:type="character" w:styleId="BesuchterLink">
    <w:name w:val="FollowedHyperlink"/>
    <w:basedOn w:val="Absatz-Standardschriftart"/>
    <w:semiHidden/>
    <w:unhideWhenUsed/>
    <w:rsid w:val="005A54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GPK_ADJ.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wb.online" TargetMode="External"/><Relationship Id="rId4" Type="http://schemas.openxmlformats.org/officeDocument/2006/relationships/webSettings" Target="webSettings.xml"/><Relationship Id="rId9" Type="http://schemas.openxmlformats.org/officeDocument/2006/relationships/hyperlink" Target="https://www.ifhkoeln.de/produkt/quo-vadis-gpk-fachhand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B165-3038-4DDE-8669-4524008A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3</Pages>
  <Words>848</Words>
  <Characters>5923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5</cp:revision>
  <cp:lastPrinted>2022-07-04T06:32:00Z</cp:lastPrinted>
  <dcterms:created xsi:type="dcterms:W3CDTF">2022-06-30T14:36:00Z</dcterms:created>
  <dcterms:modified xsi:type="dcterms:W3CDTF">2022-07-04T06:33:00Z</dcterms:modified>
  <cp:contentStatus/>
</cp:coreProperties>
</file>